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media/image1.jpeg" ContentType="image/jpeg"/>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Override PartName="/word/_rels/head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
    </w:p>
    <w:p>
      <w:pPr>
        <w:pStyle w:val="Normal"/>
        <w:rPr/>
      </w:pPr>
      <w:r>
        <w:rPr/>
      </w:r>
    </w:p>
    <w:p>
      <w:pPr>
        <w:pStyle w:val="Normal"/>
        <w:jc w:val="center"/>
        <w:rPr>
          <w:rFonts w:ascii="Georgia" w:hAnsi="Georgia"/>
          <w:b/>
          <w:sz w:val="24"/>
          <w:szCs w:val="24"/>
        </w:rPr>
      </w:pPr>
      <w:r>
        <w:rPr>
          <w:rFonts w:ascii="Georgia" w:hAnsi="Georgia"/>
          <w:b/>
          <w:sz w:val="24"/>
          <w:szCs w:val="24"/>
        </w:rPr>
        <w:t>Integrazione al Curricolo di Educazione Civica nel PTOF</w:t>
      </w:r>
    </w:p>
    <w:p>
      <w:pPr>
        <w:pStyle w:val="Normal"/>
        <w:jc w:val="center"/>
        <w:rPr>
          <w:rFonts w:ascii="Georgia" w:hAnsi="Georgia"/>
          <w:b/>
          <w:sz w:val="24"/>
          <w:szCs w:val="24"/>
        </w:rPr>
      </w:pPr>
      <w:r>
        <w:rPr>
          <w:rFonts w:ascii="Georgia" w:hAnsi="Georgia"/>
          <w:b/>
          <w:sz w:val="24"/>
          <w:szCs w:val="24"/>
        </w:rPr>
        <w:t>“</w:t>
      </w:r>
      <w:r>
        <w:rPr>
          <w:rFonts w:ascii="Georgia" w:hAnsi="Georgia"/>
          <w:b/>
          <w:sz w:val="24"/>
          <w:szCs w:val="24"/>
        </w:rPr>
        <w:t>Valorizzazione del nucleo concettuale di Cittadinanza digitale”</w:t>
      </w:r>
    </w:p>
    <w:p>
      <w:pPr>
        <w:pStyle w:val="Normal"/>
        <w:rPr/>
      </w:pPr>
      <w:r>
        <w:rPr/>
      </w:r>
    </w:p>
    <w:p>
      <w:pPr>
        <w:pStyle w:val="Normal"/>
        <w:spacing w:lineRule="auto" w:line="240" w:beforeAutospacing="1" w:afterAutospacing="1"/>
        <w:jc w:val="both"/>
        <w:rPr>
          <w:rFonts w:ascii="Georgia" w:hAnsi="Georgia" w:eastAsia="Times New Roman" w:cs="Times New Roman"/>
          <w:sz w:val="24"/>
          <w:szCs w:val="24"/>
          <w:lang w:val="it-IT"/>
        </w:rPr>
      </w:pPr>
      <w:r>
        <w:rPr>
          <w:rFonts w:eastAsia="Times New Roman" w:cs="Times New Roman" w:ascii="Georgia" w:hAnsi="Georgia"/>
          <w:sz w:val="24"/>
          <w:szCs w:val="24"/>
          <w:lang w:val="it-IT"/>
        </w:rPr>
        <w:t xml:space="preserve">Le indicazioni del Consiglio d'Europa per il 2025 sottolineano l'importanza di affrontare le sfide dell'ambiente digitale, migliorare l'accesso alle informazioni e alle piattaforme di partecipazione, </w:t>
      </w:r>
      <w:r>
        <w:rPr>
          <w:rFonts w:eastAsia="Times New Roman" w:cs="Times New Roman" w:ascii="Georgia" w:hAnsi="Georgia"/>
          <w:b/>
          <w:bCs/>
          <w:sz w:val="24"/>
          <w:szCs w:val="24"/>
          <w:lang w:val="it-IT"/>
        </w:rPr>
        <w:t>migliorare la comprensione critica (enhancing critical understanding)</w:t>
      </w:r>
      <w:r>
        <w:rPr>
          <w:rFonts w:eastAsia="Times New Roman" w:cs="Times New Roman" w:ascii="Georgia" w:hAnsi="Georgia"/>
          <w:sz w:val="24"/>
          <w:szCs w:val="24"/>
          <w:lang w:val="it-IT"/>
        </w:rPr>
        <w:t xml:space="preserve"> e </w:t>
      </w:r>
      <w:r>
        <w:rPr>
          <w:rFonts w:eastAsia="Times New Roman" w:cs="Times New Roman" w:ascii="Georgia" w:hAnsi="Georgia"/>
          <w:b/>
          <w:bCs/>
          <w:sz w:val="24"/>
          <w:szCs w:val="24"/>
          <w:lang w:val="it-IT"/>
        </w:rPr>
        <w:t>sostenere la democrazia (supporting democracy)</w:t>
      </w:r>
      <w:r>
        <w:rPr>
          <w:rFonts w:eastAsia="Times New Roman" w:cs="Times New Roman" w:ascii="Georgia" w:hAnsi="Georgia"/>
          <w:sz w:val="24"/>
          <w:szCs w:val="24"/>
          <w:lang w:val="it-IT"/>
        </w:rPr>
        <w:t xml:space="preserve"> attraverso l'educazione alla cittadinanza digitale. Promuovono anche l'organizzazione di iniziative educative nelle scuole e fuori, e campagne di sensibilizzazione.</w:t>
      </w:r>
    </w:p>
    <w:p>
      <w:pPr>
        <w:pStyle w:val="Normal"/>
        <w:spacing w:lineRule="auto" w:line="240" w:beforeAutospacing="1" w:afterAutospacing="1"/>
        <w:jc w:val="both"/>
        <w:rPr>
          <w:rFonts w:ascii="Georgia" w:hAnsi="Georgia" w:eastAsia="Times New Roman" w:cs="Times New Roman"/>
          <w:sz w:val="24"/>
          <w:szCs w:val="24"/>
          <w:lang w:val="it-IT"/>
        </w:rPr>
      </w:pPr>
      <w:r>
        <w:rPr>
          <w:rFonts w:eastAsia="Times New Roman" w:cs="Times New Roman" w:ascii="Georgia" w:hAnsi="Georgia"/>
          <w:sz w:val="24"/>
          <w:szCs w:val="24"/>
          <w:lang w:val="it-IT"/>
        </w:rPr>
        <w:t>L’ISIS Valdarno dimostra un impegno che rispecchia questi obiettivi in diversi modi:</w:t>
      </w:r>
    </w:p>
    <w:p>
      <w:pPr>
        <w:pStyle w:val="Normal"/>
        <w:numPr>
          <w:ilvl w:val="0"/>
          <w:numId w:val="2"/>
        </w:numPr>
        <w:spacing w:lineRule="auto" w:line="240" w:beforeAutospacing="1" w:after="0"/>
        <w:jc w:val="both"/>
        <w:rPr>
          <w:rFonts w:ascii="Georgia" w:hAnsi="Georgia" w:eastAsia="Times New Roman" w:cs="Times New Roman"/>
          <w:sz w:val="24"/>
          <w:szCs w:val="24"/>
          <w:lang w:val="it-IT"/>
        </w:rPr>
      </w:pPr>
      <w:r>
        <w:rPr>
          <w:rFonts w:eastAsia="Times New Roman" w:cs="Times New Roman" w:ascii="Georgia" w:hAnsi="Georgia"/>
          <w:b/>
          <w:bCs/>
          <w:sz w:val="24"/>
          <w:szCs w:val="24"/>
          <w:lang w:val="it-IT"/>
        </w:rPr>
        <w:t>Visione Strategica e Integrazione Curricolare</w:t>
      </w:r>
      <w:r>
        <w:rPr>
          <w:rFonts w:eastAsia="Times New Roman" w:cs="Times New Roman" w:ascii="Georgia" w:hAnsi="Georgia"/>
          <w:sz w:val="24"/>
          <w:szCs w:val="24"/>
          <w:lang w:val="it-IT"/>
        </w:rPr>
        <w:t xml:space="preserve">: l'Istituto ha una visione di </w:t>
      </w:r>
      <w:r>
        <w:rPr>
          <w:rFonts w:eastAsia="Times New Roman" w:cs="Times New Roman" w:ascii="Georgia" w:hAnsi="Georgia"/>
          <w:b/>
          <w:bCs/>
          <w:sz w:val="24"/>
          <w:szCs w:val="24"/>
          <w:lang w:val="it-IT"/>
        </w:rPr>
        <w:t>scuola digitale sostenibile</w:t>
      </w:r>
      <w:r>
        <w:rPr>
          <w:rFonts w:eastAsia="Times New Roman" w:cs="Times New Roman" w:ascii="Georgia" w:hAnsi="Georgia"/>
          <w:sz w:val="24"/>
          <w:szCs w:val="24"/>
          <w:lang w:val="it-IT"/>
        </w:rPr>
        <w:t xml:space="preserve"> che va oltre la semplice dotazione tecnologica. La Cittadinanza Digitale non è un argomento isolato, ma un </w:t>
      </w:r>
      <w:r>
        <w:rPr>
          <w:rFonts w:eastAsia="Times New Roman" w:cs="Times New Roman" w:ascii="Georgia" w:hAnsi="Georgia"/>
          <w:b/>
          <w:bCs/>
          <w:sz w:val="24"/>
          <w:szCs w:val="24"/>
          <w:lang w:val="it-IT"/>
        </w:rPr>
        <w:t>insegnamento trasversale</w:t>
      </w:r>
      <w:r>
        <w:rPr>
          <w:rFonts w:eastAsia="Times New Roman" w:cs="Times New Roman" w:ascii="Georgia" w:hAnsi="Georgia"/>
          <w:sz w:val="24"/>
          <w:szCs w:val="24"/>
          <w:lang w:val="it-IT"/>
        </w:rPr>
        <w:t xml:space="preserve"> che coinvolge tutte le discipline e si sviluppa lungo l'intero percorso quinquennale. Questo approccio olistico è fondamentale per preparare gli studenti a vivere pienamente nella società digitale, in linea con le nuove raccomandazioni europee. L'Istituto esplicita nel proprio curricolo l'importanza di insegnare agli studenti "che uso fare di ciò che si sa" nel contesto digitale.</w:t>
      </w:r>
    </w:p>
    <w:p>
      <w:pPr>
        <w:pStyle w:val="Normal"/>
        <w:numPr>
          <w:ilvl w:val="0"/>
          <w:numId w:val="2"/>
        </w:numPr>
        <w:spacing w:lineRule="auto" w:line="240" w:before="0" w:after="0"/>
        <w:jc w:val="both"/>
        <w:rPr>
          <w:rFonts w:ascii="Georgia" w:hAnsi="Georgia" w:eastAsia="Times New Roman" w:cs="Times New Roman"/>
          <w:sz w:val="24"/>
          <w:szCs w:val="24"/>
          <w:lang w:val="it-IT"/>
        </w:rPr>
      </w:pPr>
      <w:r>
        <w:rPr>
          <w:rFonts w:eastAsia="Times New Roman" w:cs="Times New Roman" w:ascii="Georgia" w:hAnsi="Georgia"/>
          <w:b/>
          <w:bCs/>
          <w:sz w:val="24"/>
          <w:szCs w:val="24"/>
          <w:lang w:val="it-IT"/>
        </w:rPr>
        <w:t>Sviluppo della Comprensione Critica</w:t>
      </w:r>
      <w:r>
        <w:rPr>
          <w:rFonts w:eastAsia="Times New Roman" w:cs="Times New Roman" w:ascii="Georgia" w:hAnsi="Georgia"/>
          <w:sz w:val="24"/>
          <w:szCs w:val="24"/>
          <w:lang w:val="it-IT"/>
        </w:rPr>
        <w:t>: in linea con l'obiettivo del Consiglio d'Europa di "</w:t>
      </w:r>
      <w:r>
        <w:rPr>
          <w:rFonts w:eastAsia="Times New Roman" w:cs="Times New Roman" w:ascii="Georgia" w:hAnsi="Georgia"/>
          <w:i/>
          <w:iCs/>
          <w:sz w:val="24"/>
          <w:szCs w:val="24"/>
          <w:lang w:val="it-IT"/>
        </w:rPr>
        <w:t>enhancing critical understanding</w:t>
      </w:r>
      <w:r>
        <w:rPr>
          <w:rFonts w:eastAsia="Times New Roman" w:cs="Times New Roman" w:ascii="Georgia" w:hAnsi="Georgia"/>
          <w:sz w:val="24"/>
          <w:szCs w:val="24"/>
          <w:lang w:val="it-IT"/>
        </w:rPr>
        <w:t xml:space="preserve">", l’ISIS Valdarno mira a rendere gli studenti capaci di </w:t>
      </w:r>
      <w:r>
        <w:rPr>
          <w:rFonts w:eastAsia="Times New Roman" w:cs="Times New Roman" w:ascii="Georgia" w:hAnsi="Georgia"/>
          <w:b/>
          <w:bCs/>
          <w:sz w:val="24"/>
          <w:szCs w:val="24"/>
          <w:lang w:val="it-IT"/>
        </w:rPr>
        <w:t>avvalersi consapevolmente e responsabilmente dei mezzi di comunicazione virtuali</w:t>
      </w:r>
      <w:r>
        <w:rPr>
          <w:rFonts w:eastAsia="Times New Roman" w:cs="Times New Roman" w:ascii="Georgia" w:hAnsi="Georgia"/>
          <w:sz w:val="24"/>
          <w:szCs w:val="24"/>
          <w:lang w:val="it-IT"/>
        </w:rPr>
        <w:t>. Questo si traduce nello sviluppo di competenze specifiche quali l'</w:t>
      </w:r>
      <w:r>
        <w:rPr>
          <w:rFonts w:eastAsia="Times New Roman" w:cs="Times New Roman" w:ascii="Georgia" w:hAnsi="Georgia"/>
          <w:b/>
          <w:bCs/>
          <w:sz w:val="24"/>
          <w:szCs w:val="24"/>
          <w:lang w:val="it-IT"/>
        </w:rPr>
        <w:t>alfabetizzazione all'informazione e ai media</w:t>
      </w:r>
      <w:r>
        <w:rPr>
          <w:rFonts w:eastAsia="Times New Roman" w:cs="Times New Roman" w:ascii="Georgia" w:hAnsi="Georgia"/>
          <w:sz w:val="24"/>
          <w:szCs w:val="24"/>
          <w:lang w:val="it-IT"/>
        </w:rPr>
        <w:t xml:space="preserve">, che include l'individuazione, l'elaborazione e la </w:t>
      </w:r>
      <w:r>
        <w:rPr>
          <w:rFonts w:eastAsia="Times New Roman" w:cs="Times New Roman" w:ascii="Georgia" w:hAnsi="Georgia"/>
          <w:b/>
          <w:bCs/>
          <w:sz w:val="24"/>
          <w:szCs w:val="24"/>
          <w:lang w:val="it-IT"/>
        </w:rPr>
        <w:t>valutazione critica</w:t>
      </w:r>
      <w:r>
        <w:rPr>
          <w:rFonts w:eastAsia="Times New Roman" w:cs="Times New Roman" w:ascii="Georgia" w:hAnsi="Georgia"/>
          <w:sz w:val="24"/>
          <w:szCs w:val="24"/>
          <w:lang w:val="it-IT"/>
        </w:rPr>
        <w:t xml:space="preserve"> delle informazioni digitali. Si pone particolare attenzione all'uso </w:t>
      </w:r>
      <w:r>
        <w:rPr>
          <w:rFonts w:eastAsia="Times New Roman" w:cs="Times New Roman" w:ascii="Georgia" w:hAnsi="Georgia"/>
          <w:b/>
          <w:bCs/>
          <w:sz w:val="24"/>
          <w:szCs w:val="24"/>
          <w:lang w:val="it-IT"/>
        </w:rPr>
        <w:t>critico e consapevole</w:t>
      </w:r>
      <w:r>
        <w:rPr>
          <w:rFonts w:eastAsia="Times New Roman" w:cs="Times New Roman" w:ascii="Georgia" w:hAnsi="Georgia"/>
          <w:sz w:val="24"/>
          <w:szCs w:val="24"/>
          <w:lang w:val="it-IT"/>
        </w:rPr>
        <w:t xml:space="preserve"> dei social network e dei media e alla capacità di assumere un </w:t>
      </w:r>
      <w:r>
        <w:rPr>
          <w:rFonts w:eastAsia="Times New Roman" w:cs="Times New Roman" w:ascii="Georgia" w:hAnsi="Georgia"/>
          <w:b/>
          <w:bCs/>
          <w:sz w:val="24"/>
          <w:szCs w:val="24"/>
          <w:lang w:val="it-IT"/>
        </w:rPr>
        <w:t>approccio critico nei confronti della validità, dell'affidabilità e dell'impatto delle informazioni e dei dati digitali</w:t>
      </w:r>
      <w:r>
        <w:rPr>
          <w:rFonts w:eastAsia="Times New Roman" w:cs="Times New Roman" w:ascii="Georgia" w:hAnsi="Georgia"/>
          <w:sz w:val="24"/>
          <w:szCs w:val="24"/>
          <w:lang w:val="it-IT"/>
        </w:rPr>
        <w:t>. Il pensiero critico è una competenza chiave promossa anche attraverso altre attività e metodologie.</w:t>
      </w:r>
    </w:p>
    <w:p>
      <w:pPr>
        <w:pStyle w:val="Normal"/>
        <w:numPr>
          <w:ilvl w:val="0"/>
          <w:numId w:val="2"/>
        </w:numPr>
        <w:spacing w:lineRule="auto" w:line="240" w:before="0" w:after="0"/>
        <w:jc w:val="both"/>
        <w:rPr>
          <w:rFonts w:ascii="Georgia" w:hAnsi="Georgia" w:eastAsia="Times New Roman" w:cs="Times New Roman"/>
          <w:sz w:val="24"/>
          <w:szCs w:val="24"/>
          <w:lang w:val="it-IT"/>
        </w:rPr>
      </w:pPr>
      <w:r>
        <w:rPr>
          <w:rFonts w:eastAsia="Times New Roman" w:cs="Times New Roman" w:ascii="Georgia" w:hAnsi="Georgia"/>
          <w:b/>
          <w:bCs/>
          <w:sz w:val="24"/>
          <w:szCs w:val="24"/>
          <w:lang w:val="it-IT"/>
        </w:rPr>
        <w:t>Uso Responsabile e Sicurezza</w:t>
      </w:r>
      <w:r>
        <w:rPr>
          <w:rFonts w:eastAsia="Times New Roman" w:cs="Times New Roman" w:ascii="Georgia" w:hAnsi="Georgia"/>
          <w:sz w:val="24"/>
          <w:szCs w:val="24"/>
          <w:lang w:val="it-IT"/>
        </w:rPr>
        <w:t xml:space="preserve">: la scuola educa all'uso </w:t>
      </w:r>
      <w:r>
        <w:rPr>
          <w:rFonts w:eastAsia="Times New Roman" w:cs="Times New Roman" w:ascii="Georgia" w:hAnsi="Georgia"/>
          <w:b/>
          <w:bCs/>
          <w:sz w:val="24"/>
          <w:szCs w:val="24"/>
          <w:lang w:val="it-IT"/>
        </w:rPr>
        <w:t>consapevole e responsabile</w:t>
      </w:r>
      <w:r>
        <w:rPr>
          <w:rFonts w:eastAsia="Times New Roman" w:cs="Times New Roman" w:ascii="Georgia" w:hAnsi="Georgia"/>
          <w:sz w:val="24"/>
          <w:szCs w:val="24"/>
          <w:lang w:val="it-IT"/>
        </w:rPr>
        <w:t xml:space="preserve"> del digitale per affrontare i rischi e le insidie dell'ambiente digitale. La prevenzione e il contrasto del </w:t>
      </w:r>
      <w:r>
        <w:rPr>
          <w:rFonts w:eastAsia="Times New Roman" w:cs="Times New Roman" w:ascii="Georgia" w:hAnsi="Georgia"/>
          <w:b/>
          <w:bCs/>
          <w:sz w:val="24"/>
          <w:szCs w:val="24"/>
          <w:lang w:val="it-IT"/>
        </w:rPr>
        <w:t>bullismo e cyberbullismo</w:t>
      </w:r>
      <w:r>
        <w:rPr>
          <w:rFonts w:eastAsia="Times New Roman" w:cs="Times New Roman" w:ascii="Georgia" w:hAnsi="Georgia"/>
          <w:sz w:val="24"/>
          <w:szCs w:val="24"/>
          <w:lang w:val="it-IT"/>
        </w:rPr>
        <w:t xml:space="preserve"> sono tra le priorità dell'Istituto, con l'adesione a reti specifiche come "Rete Cyber Help!" che prevede anche attività di </w:t>
      </w:r>
      <w:r>
        <w:rPr>
          <w:rFonts w:eastAsia="Times New Roman" w:cs="Times New Roman" w:ascii="Georgia" w:hAnsi="Georgia"/>
          <w:i/>
          <w:iCs/>
          <w:sz w:val="24"/>
          <w:szCs w:val="24"/>
          <w:lang w:val="it-IT"/>
        </w:rPr>
        <w:t>peer education</w:t>
      </w:r>
      <w:r>
        <w:rPr>
          <w:rFonts w:eastAsia="Times New Roman" w:cs="Times New Roman" w:ascii="Georgia" w:hAnsi="Georgia"/>
          <w:sz w:val="24"/>
          <w:szCs w:val="24"/>
          <w:lang w:val="it-IT"/>
        </w:rPr>
        <w:t>. Le norme di comportamento nell'uso degli strumenti digitali, il rispetto degli altri e la tutela dei dati personali sono integrate nel Patto educativo di corresponsabilità per la DDI.</w:t>
      </w:r>
    </w:p>
    <w:p>
      <w:pPr>
        <w:pStyle w:val="Normal"/>
        <w:numPr>
          <w:ilvl w:val="0"/>
          <w:numId w:val="2"/>
        </w:numPr>
        <w:spacing w:lineRule="auto" w:line="240" w:before="0" w:after="0"/>
        <w:jc w:val="both"/>
        <w:rPr>
          <w:rFonts w:ascii="Georgia" w:hAnsi="Georgia" w:eastAsia="Times New Roman" w:cs="Times New Roman"/>
          <w:sz w:val="24"/>
          <w:szCs w:val="24"/>
          <w:lang w:val="it-IT"/>
        </w:rPr>
      </w:pPr>
      <w:r>
        <w:rPr>
          <w:rFonts w:eastAsia="Times New Roman" w:cs="Times New Roman" w:ascii="Georgia" w:hAnsi="Georgia"/>
          <w:b/>
          <w:bCs/>
          <w:sz w:val="24"/>
          <w:szCs w:val="24"/>
          <w:lang w:val="it-IT"/>
        </w:rPr>
        <w:t>Competenze Digitali Fondamentali</w:t>
      </w:r>
      <w:r>
        <w:rPr>
          <w:rFonts w:eastAsia="Times New Roman" w:cs="Times New Roman" w:ascii="Georgia" w:hAnsi="Georgia"/>
          <w:sz w:val="24"/>
          <w:szCs w:val="24"/>
          <w:lang w:val="it-IT"/>
        </w:rPr>
        <w:t xml:space="preserve">: l'Istituto mira a sviluppare specifiche competenze digitali negli studenti in linea con framework europei come il DigCompEdu. Queste includono, oltre all'alfabetizzazione informativa critica, la </w:t>
      </w:r>
      <w:r>
        <w:rPr>
          <w:rFonts w:eastAsia="Times New Roman" w:cs="Times New Roman" w:ascii="Georgia" w:hAnsi="Georgia"/>
          <w:b/>
          <w:bCs/>
          <w:sz w:val="24"/>
          <w:szCs w:val="24"/>
          <w:lang w:val="it-IT"/>
        </w:rPr>
        <w:t>comunicazione e collaborazione digitale</w:t>
      </w:r>
      <w:r>
        <w:rPr>
          <w:rFonts w:eastAsia="Times New Roman" w:cs="Times New Roman" w:ascii="Georgia" w:hAnsi="Georgia"/>
          <w:sz w:val="24"/>
          <w:szCs w:val="24"/>
          <w:lang w:val="it-IT"/>
        </w:rPr>
        <w:t xml:space="preserve">, la </w:t>
      </w:r>
      <w:r>
        <w:rPr>
          <w:rFonts w:eastAsia="Times New Roman" w:cs="Times New Roman" w:ascii="Georgia" w:hAnsi="Georgia"/>
          <w:b/>
          <w:bCs/>
          <w:sz w:val="24"/>
          <w:szCs w:val="24"/>
          <w:lang w:val="it-IT"/>
        </w:rPr>
        <w:t>creazione di contenuti digitali</w:t>
      </w:r>
      <w:r>
        <w:rPr>
          <w:rFonts w:eastAsia="Times New Roman" w:cs="Times New Roman" w:ascii="Georgia" w:hAnsi="Georgia"/>
          <w:sz w:val="24"/>
          <w:szCs w:val="24"/>
          <w:lang w:val="it-IT"/>
        </w:rPr>
        <w:t xml:space="preserve"> (rispettando diritto d'autore e licenze), e la </w:t>
      </w:r>
      <w:r>
        <w:rPr>
          <w:rFonts w:eastAsia="Times New Roman" w:cs="Times New Roman" w:ascii="Georgia" w:hAnsi="Georgia"/>
          <w:b/>
          <w:bCs/>
          <w:sz w:val="24"/>
          <w:szCs w:val="24"/>
          <w:lang w:val="it-IT"/>
        </w:rPr>
        <w:t>risoluzione di problemi</w:t>
      </w:r>
      <w:r>
        <w:rPr>
          <w:rFonts w:eastAsia="Times New Roman" w:cs="Times New Roman" w:ascii="Georgia" w:hAnsi="Georgia"/>
          <w:sz w:val="24"/>
          <w:szCs w:val="24"/>
          <w:lang w:val="it-IT"/>
        </w:rPr>
        <w:t xml:space="preserve"> tecnici o creativi con la tecnologia.</w:t>
      </w:r>
    </w:p>
    <w:p>
      <w:pPr>
        <w:pStyle w:val="Normal"/>
        <w:numPr>
          <w:ilvl w:val="0"/>
          <w:numId w:val="2"/>
        </w:numPr>
        <w:spacing w:lineRule="auto" w:line="240" w:before="0" w:after="0"/>
        <w:jc w:val="both"/>
        <w:rPr>
          <w:rFonts w:ascii="Georgia" w:hAnsi="Georgia" w:eastAsia="Times New Roman" w:cs="Times New Roman"/>
          <w:sz w:val="24"/>
          <w:szCs w:val="24"/>
          <w:lang w:val="it-IT"/>
        </w:rPr>
      </w:pPr>
      <w:r>
        <w:rPr>
          <w:rFonts w:eastAsia="Times New Roman" w:cs="Times New Roman" w:ascii="Georgia" w:hAnsi="Georgia"/>
          <w:b/>
          <w:bCs/>
          <w:sz w:val="24"/>
          <w:szCs w:val="24"/>
          <w:lang w:val="it-IT"/>
        </w:rPr>
        <w:t>Formazione del Personale Docente</w:t>
      </w:r>
      <w:r>
        <w:rPr>
          <w:rFonts w:eastAsia="Times New Roman" w:cs="Times New Roman" w:ascii="Georgia" w:hAnsi="Georgia"/>
          <w:sz w:val="24"/>
          <w:szCs w:val="24"/>
          <w:lang w:val="it-IT"/>
        </w:rPr>
        <w:t xml:space="preserve">: un elemento cruciale per accompagnare la transizione digitale è la </w:t>
      </w:r>
      <w:r>
        <w:rPr>
          <w:rFonts w:eastAsia="Times New Roman" w:cs="Times New Roman" w:ascii="Georgia" w:hAnsi="Georgia"/>
          <w:b/>
          <w:bCs/>
          <w:sz w:val="24"/>
          <w:szCs w:val="24"/>
          <w:lang w:val="it-IT"/>
        </w:rPr>
        <w:t>formazione e l'aggiornamento dei docenti</w:t>
      </w:r>
      <w:r>
        <w:rPr>
          <w:rFonts w:eastAsia="Times New Roman" w:cs="Times New Roman" w:ascii="Georgia" w:hAnsi="Georgia"/>
          <w:sz w:val="24"/>
          <w:szCs w:val="24"/>
          <w:lang w:val="it-IT"/>
        </w:rPr>
        <w:t>. L’ISIS Valdarno offre corsi sull'uso di strumenti digitali e su metodologie didattiche innovative che integrano la tecnologia, inclusi approcci più avanzati come la realtà virtuale, la realtà aumentata e il metaverso. Questo è essenziale affinché i docenti possano guidare efficacemente gli studenti.</w:t>
      </w:r>
    </w:p>
    <w:p>
      <w:pPr>
        <w:pStyle w:val="Normal"/>
        <w:numPr>
          <w:ilvl w:val="0"/>
          <w:numId w:val="2"/>
        </w:numPr>
        <w:spacing w:lineRule="auto" w:line="240" w:before="0" w:after="0"/>
        <w:jc w:val="both"/>
        <w:rPr>
          <w:rFonts w:ascii="Georgia" w:hAnsi="Georgia" w:eastAsia="Times New Roman" w:cs="Times New Roman"/>
          <w:sz w:val="24"/>
          <w:szCs w:val="24"/>
          <w:lang w:val="it-IT"/>
        </w:rPr>
      </w:pPr>
      <w:r>
        <w:rPr>
          <w:rFonts w:eastAsia="Times New Roman" w:cs="Times New Roman" w:ascii="Georgia" w:hAnsi="Georgia"/>
          <w:b/>
          <w:bCs/>
          <w:sz w:val="24"/>
          <w:szCs w:val="24"/>
          <w:lang w:val="it-IT"/>
        </w:rPr>
        <w:t>Ampliamento degli Ambienti di Apprendimento</w:t>
      </w:r>
      <w:r>
        <w:rPr>
          <w:rFonts w:eastAsia="Times New Roman" w:cs="Times New Roman" w:ascii="Georgia" w:hAnsi="Georgia"/>
          <w:sz w:val="24"/>
          <w:szCs w:val="24"/>
          <w:lang w:val="it-IT"/>
        </w:rPr>
        <w:t>: sono stati implementati e potenziati ambienti digitali che facilitano l'interazione e la collaborazione. L'investimento in “nuove aule ‘aumentate’” e dotazioni multimediali (schermi interattivi, tecnologie touch screen, iPad e notebook</w:t>
      </w:r>
      <w:bookmarkStart w:id="0" w:name="_GoBack"/>
      <w:bookmarkEnd w:id="0"/>
      <w:r>
        <w:rPr>
          <w:rFonts w:eastAsia="Times New Roman" w:cs="Times New Roman" w:ascii="Georgia" w:hAnsi="Georgia"/>
          <w:sz w:val="24"/>
          <w:szCs w:val="24"/>
          <w:lang w:val="it-IT"/>
        </w:rPr>
        <w:t>) supporta l'integrazione quotidiana del digitale nella didattica, in linea con progetti PON e PNRR.</w:t>
      </w:r>
    </w:p>
    <w:p>
      <w:pPr>
        <w:pStyle w:val="Normal"/>
        <w:numPr>
          <w:ilvl w:val="0"/>
          <w:numId w:val="2"/>
        </w:numPr>
        <w:spacing w:lineRule="auto" w:line="240" w:before="0" w:after="0"/>
        <w:jc w:val="both"/>
        <w:rPr>
          <w:rFonts w:ascii="Georgia" w:hAnsi="Georgia" w:eastAsia="Times New Roman" w:cs="Times New Roman"/>
          <w:sz w:val="24"/>
          <w:szCs w:val="24"/>
          <w:lang w:val="it-IT"/>
        </w:rPr>
      </w:pPr>
      <w:r>
        <w:rPr>
          <w:rFonts w:eastAsia="Times New Roman" w:cs="Times New Roman" w:ascii="Georgia" w:hAnsi="Georgia"/>
          <w:b/>
          <w:bCs/>
          <w:sz w:val="24"/>
          <w:szCs w:val="24"/>
          <w:lang w:val="it-IT"/>
        </w:rPr>
        <w:t>Connessione con il Mondo del Lavoro e il Futuro</w:t>
      </w:r>
      <w:r>
        <w:rPr>
          <w:rFonts w:eastAsia="Times New Roman" w:cs="Times New Roman" w:ascii="Georgia" w:hAnsi="Georgia"/>
          <w:sz w:val="24"/>
          <w:szCs w:val="24"/>
          <w:lang w:val="it-IT"/>
        </w:rPr>
        <w:t xml:space="preserve">: lo sviluppo delle competenze digitali è visto anche in ottica di preparazione per </w:t>
      </w:r>
      <w:r>
        <w:rPr>
          <w:rFonts w:eastAsia="Times New Roman" w:cs="Times New Roman" w:ascii="Georgia" w:hAnsi="Georgia"/>
          <w:b/>
          <w:bCs/>
          <w:sz w:val="24"/>
          <w:szCs w:val="24"/>
          <w:lang w:val="it-IT"/>
        </w:rPr>
        <w:t>le professioni del futuro</w:t>
      </w:r>
      <w:r>
        <w:rPr>
          <w:rFonts w:eastAsia="Times New Roman" w:cs="Times New Roman" w:ascii="Georgia" w:hAnsi="Georgia"/>
          <w:sz w:val="24"/>
          <w:szCs w:val="24"/>
          <w:lang w:val="it-IT"/>
        </w:rPr>
        <w:t>. I PCTO spesso prevedono l'utilizzo di strumenti e modalità digitali. La partecipazione a reti su "big data and machine learning" e "Intelligenza Artificiale" rafforza questo legame.</w:t>
      </w:r>
    </w:p>
    <w:p>
      <w:pPr>
        <w:pStyle w:val="Normal"/>
        <w:numPr>
          <w:ilvl w:val="0"/>
          <w:numId w:val="2"/>
        </w:numPr>
        <w:spacing w:lineRule="auto" w:line="240" w:before="0" w:after="0"/>
        <w:jc w:val="both"/>
        <w:rPr>
          <w:rFonts w:ascii="Georgia" w:hAnsi="Georgia" w:eastAsia="Times New Roman" w:cs="Times New Roman"/>
          <w:sz w:val="24"/>
          <w:szCs w:val="24"/>
          <w:lang w:val="it-IT"/>
        </w:rPr>
      </w:pPr>
      <w:r>
        <w:rPr>
          <w:rFonts w:eastAsia="Times New Roman" w:cs="Times New Roman" w:ascii="Georgia" w:hAnsi="Georgia"/>
          <w:b/>
          <w:bCs/>
          <w:sz w:val="24"/>
          <w:szCs w:val="24"/>
          <w:lang w:val="it-IT"/>
        </w:rPr>
        <w:t>Promozione della Cittadinanza Attiva e Democratica</w:t>
      </w:r>
      <w:r>
        <w:rPr>
          <w:rFonts w:eastAsia="Times New Roman" w:cs="Times New Roman" w:ascii="Georgia" w:hAnsi="Georgia"/>
          <w:sz w:val="24"/>
          <w:szCs w:val="24"/>
          <w:lang w:val="it-IT"/>
        </w:rPr>
        <w:t xml:space="preserve">: sebbene il Consiglio d'Europa menzioni "supporting democracy" in senso ampio, l’ISIS Valdarno affronta temi legati alla cittadinanza, alla legalità e alla partecipazione consapevole alla vita civica. L'uso degli strumenti digitali per la comunicazione istituzionale mira a facilitare il dialogo con le famiglie e la comunità. La promozione di una </w:t>
      </w:r>
      <w:r>
        <w:rPr>
          <w:rFonts w:eastAsia="Times New Roman" w:cs="Times New Roman" w:ascii="Georgia" w:hAnsi="Georgia"/>
          <w:b/>
          <w:bCs/>
          <w:sz w:val="24"/>
          <w:szCs w:val="24"/>
          <w:lang w:val="it-IT"/>
        </w:rPr>
        <w:t>cittadinanza artistica e culturale</w:t>
      </w:r>
      <w:r>
        <w:rPr>
          <w:rFonts w:eastAsia="Times New Roman" w:cs="Times New Roman" w:ascii="Georgia" w:hAnsi="Georgia"/>
          <w:sz w:val="24"/>
          <w:szCs w:val="24"/>
          <w:lang w:val="it-IT"/>
        </w:rPr>
        <w:t xml:space="preserve"> che contribuisca alla comprensione del mondo e alla valorizzazione umana si interseca con l'uso del digitale in ambito artistico-espressivo.</w:t>
      </w:r>
    </w:p>
    <w:p>
      <w:pPr>
        <w:pStyle w:val="Normal"/>
        <w:numPr>
          <w:ilvl w:val="0"/>
          <w:numId w:val="2"/>
        </w:numPr>
        <w:spacing w:lineRule="auto" w:line="240" w:before="0" w:afterAutospacing="1"/>
        <w:jc w:val="both"/>
        <w:rPr>
          <w:rFonts w:ascii="Georgia" w:hAnsi="Georgia" w:eastAsia="Times New Roman" w:cs="Times New Roman"/>
          <w:sz w:val="24"/>
          <w:szCs w:val="24"/>
          <w:lang w:val="it-IT"/>
        </w:rPr>
      </w:pPr>
      <w:r>
        <w:rPr>
          <w:rFonts w:eastAsia="Times New Roman" w:cs="Times New Roman" w:ascii="Georgia" w:hAnsi="Georgia"/>
          <w:b/>
          <w:bCs/>
          <w:sz w:val="24"/>
          <w:szCs w:val="24"/>
          <w:lang w:val="it-IT"/>
        </w:rPr>
        <w:t>Adesione a Framework Europei e Nazionali</w:t>
      </w:r>
      <w:r>
        <w:rPr>
          <w:rFonts w:eastAsia="Times New Roman" w:cs="Times New Roman" w:ascii="Georgia" w:hAnsi="Georgia"/>
          <w:sz w:val="24"/>
          <w:szCs w:val="24"/>
          <w:lang w:val="it-IT"/>
        </w:rPr>
        <w:t>: l'Istituto opera in coerenza con le indicazioni europee e nazionali, citando esplicitamente il Piano Nazionale Scuola Digitale (PNSD), le Raccomandazioni del Consiglio d'Europa, il DigCompEdu, il PNRR e il Piano "RiGenerazione Scuola". Questo dimostra un allineamento attivo con le politiche di innovazione didattica e digitale a livello europeo.</w:t>
      </w:r>
    </w:p>
    <w:p>
      <w:pPr>
        <w:pStyle w:val="Normal"/>
        <w:spacing w:lineRule="auto" w:line="240" w:beforeAutospacing="1" w:afterAutospacing="1"/>
        <w:jc w:val="both"/>
        <w:rPr/>
      </w:pPr>
      <w:r>
        <w:rPr>
          <w:rFonts w:eastAsia="Times New Roman" w:cs="Times New Roman" w:ascii="Georgia" w:hAnsi="Georgia"/>
          <w:sz w:val="24"/>
          <w:szCs w:val="24"/>
          <w:lang w:val="it-IT"/>
        </w:rPr>
        <w:t xml:space="preserve">In conclusione, il lavoro svolto dall’ISIS Valdarno sulla Cittadinanza Digitale è </w:t>
      </w:r>
      <w:r>
        <w:rPr>
          <w:rFonts w:eastAsia="Times New Roman" w:cs="Times New Roman" w:ascii="Georgia" w:hAnsi="Georgia"/>
          <w:b/>
          <w:bCs/>
          <w:sz w:val="24"/>
          <w:szCs w:val="24"/>
          <w:lang w:val="it-IT"/>
        </w:rPr>
        <w:t>articolato e multidimensionale</w:t>
      </w:r>
      <w:r>
        <w:rPr>
          <w:rFonts w:eastAsia="Times New Roman" w:cs="Times New Roman" w:ascii="Georgia" w:hAnsi="Georgia"/>
          <w:sz w:val="24"/>
          <w:szCs w:val="24"/>
          <w:lang w:val="it-IT"/>
        </w:rPr>
        <w:t>, abbracciando gli aspetti promossi dal Consiglio d'Europa per il 2025. Si concentra sullo sviluppo di competenze critiche e responsabili, sull'integrazione della tecnologia nella didattica e negli ambienti di apprendimento, sulla formazione dei docenti, sulla sicurezza online, e sulla preparazione degli studenti per un futuro digitale e lavorativo. Questo impegno si riflette nell'importanza strategica data alla cittadinanza digitale all'interno del PTOF e nelle numerose iniziative trasversali e progetti specifici realizzati dall'Istituto.</w:t>
      </w:r>
    </w:p>
    <w:sectPr>
      <w:headerReference w:type="even" r:id="rId2"/>
      <w:headerReference w:type="default" r:id="rId3"/>
      <w:headerReference w:type="first" r:id="rId4"/>
      <w:footerReference w:type="default" r:id="rId5"/>
      <w:type w:val="nextPage"/>
      <w:pgSz w:w="11906" w:h="16838"/>
      <w:pgMar w:left="1440" w:right="1440" w:gutter="0" w:header="720" w:top="1440" w:footer="1440" w:bottom="2162"/>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0"/>
    <w:family w:val="roman"/>
    <w:pitch w:val="variable"/>
  </w:font>
  <w:font w:name="Tahoma">
    <w:charset w:val="00"/>
    <w:family w:val="roman"/>
    <w:pitch w:val="variable"/>
  </w:font>
  <w:font w:name="Liberation Sans">
    <w:altName w:val="Arial"/>
    <w:charset w:val="00"/>
    <w:family w:val="swiss"/>
    <w:pitch w:val="variable"/>
  </w:font>
  <w:font w:name="Georgia">
    <w:charset w:val="00"/>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2" w:space="0" w:color="000000"/>
      </w:pBdr>
      <w:tabs>
        <w:tab w:val="clear" w:pos="4819"/>
        <w:tab w:val="clear" w:pos="9638"/>
        <w:tab w:val="right" w:pos="9025" w:leader="none"/>
      </w:tabs>
      <w:jc w:val="left"/>
      <w:rPr>
        <w:sz w:val="18"/>
        <w:szCs w:val="18"/>
      </w:rPr>
    </w:pPr>
    <w:r>
      <w:rPr>
        <w:rFonts w:eastAsia="Tahoma" w:cs="Tahoma" w:ascii="Tahoma" w:hAnsi="Tahoma"/>
        <w:sz w:val="18"/>
        <w:szCs w:val="18"/>
        <w:shd w:fill="FFFFFF" w:val="clear"/>
      </w:rPr>
      <w:fldChar w:fldCharType="begin"/>
    </w:r>
    <w:r>
      <w:rPr>
        <w:sz w:val="18"/>
        <w:shd w:fill="FFFFFF" w:val="clear"/>
        <w:szCs w:val="18"/>
        <w:rFonts w:eastAsia="Tahoma" w:cs="Tahoma" w:ascii="Tahoma" w:hAnsi="Tahoma"/>
      </w:rPr>
      <w:instrText xml:space="preserve"> FILENAME </w:instrText>
    </w:r>
    <w:r>
      <w:rPr>
        <w:sz w:val="18"/>
        <w:shd w:fill="FFFFFF" w:val="clear"/>
        <w:szCs w:val="18"/>
        <w:rFonts w:eastAsia="Tahoma" w:cs="Tahoma" w:ascii="Tahoma" w:hAnsi="Tahoma"/>
      </w:rPr>
      <w:fldChar w:fldCharType="separate"/>
    </w:r>
    <w:r>
      <w:rPr>
        <w:sz w:val="18"/>
        <w:shd w:fill="FFFFFF" w:val="clear"/>
        <w:szCs w:val="18"/>
        <w:rFonts w:eastAsia="Tahoma" w:cs="Tahoma" w:ascii="Tahoma" w:hAnsi="Tahoma"/>
      </w:rPr>
      <w:t>Cod_DODI026_Rev_2025_01_Scheda_Integrazione al Curricolo di Educazione Civica.docx</w:t>
    </w:r>
    <w:r>
      <w:rPr>
        <w:sz w:val="18"/>
        <w:shd w:fill="FFFFFF" w:val="clear"/>
        <w:szCs w:val="18"/>
        <w:rFonts w:eastAsia="Tahoma" w:cs="Tahoma" w:ascii="Tahoma" w:hAnsi="Tahoma"/>
      </w:rPr>
      <w:fldChar w:fldCharType="end"/>
    </w:r>
    <w:r>
      <w:rPr>
        <w:rFonts w:eastAsia="Tahoma" w:cs="Tahoma" w:ascii="Tahoma" w:hAnsi="Tahoma"/>
        <w:sz w:val="18"/>
        <w:szCs w:val="18"/>
        <w:shd w:fill="FFFFFF" w:val="clear"/>
      </w:rPr>
      <w:tab/>
      <w:t xml:space="preserve">Pag. </w:t>
    </w:r>
    <w:r>
      <w:rPr>
        <w:rFonts w:eastAsia="Tahoma" w:cs="Tahoma" w:ascii="Tahoma" w:hAnsi="Tahoma"/>
        <w:sz w:val="18"/>
        <w:szCs w:val="18"/>
        <w:shd w:fill="FFFFFF" w:val="clear"/>
      </w:rPr>
      <w:fldChar w:fldCharType="begin"/>
    </w:r>
    <w:r>
      <w:rPr>
        <w:sz w:val="18"/>
        <w:shd w:fill="FFFFFF" w:val="clear"/>
        <w:szCs w:val="18"/>
        <w:rFonts w:eastAsia="Tahoma" w:cs="Tahoma" w:ascii="Tahoma" w:hAnsi="Tahoma"/>
      </w:rPr>
      <w:instrText xml:space="preserve"> PAGE </w:instrText>
    </w:r>
    <w:r>
      <w:rPr>
        <w:sz w:val="18"/>
        <w:shd w:fill="FFFFFF" w:val="clear"/>
        <w:szCs w:val="18"/>
        <w:rFonts w:eastAsia="Tahoma" w:cs="Tahoma" w:ascii="Tahoma" w:hAnsi="Tahoma"/>
      </w:rPr>
      <w:fldChar w:fldCharType="separate"/>
    </w:r>
    <w:r>
      <w:rPr>
        <w:sz w:val="18"/>
        <w:shd w:fill="FFFFFF" w:val="clear"/>
        <w:szCs w:val="18"/>
        <w:rFonts w:eastAsia="Tahoma" w:cs="Tahoma" w:ascii="Tahoma" w:hAnsi="Tahoma"/>
      </w:rPr>
      <w:t>3</w:t>
    </w:r>
    <w:r>
      <w:rPr>
        <w:sz w:val="18"/>
        <w:shd w:fill="FFFFFF" w:val="clear"/>
        <w:szCs w:val="18"/>
        <w:rFonts w:eastAsia="Tahoma" w:cs="Tahoma" w:ascii="Tahoma" w:hAnsi="Tahoma"/>
      </w:rPr>
      <w:fldChar w:fldCharType="end"/>
    </w:r>
    <w:r>
      <w:rPr>
        <w:rFonts w:eastAsia="Tahoma" w:cs="Tahoma" w:ascii="Tahoma" w:hAnsi="Tahoma"/>
        <w:sz w:val="18"/>
        <w:szCs w:val="18"/>
        <w:shd w:fill="FFFFFF" w:val="clear"/>
      </w:rPr>
      <w:t xml:space="preserve"> di </w:t>
    </w:r>
    <w:r>
      <w:rPr>
        <w:rFonts w:eastAsia="Tahoma" w:cs="Tahoma" w:ascii="Tahoma" w:hAnsi="Tahoma"/>
        <w:sz w:val="18"/>
        <w:szCs w:val="18"/>
        <w:shd w:fill="FFFFFF" w:val="clear"/>
      </w:rPr>
      <w:fldChar w:fldCharType="begin"/>
    </w:r>
    <w:r>
      <w:rPr>
        <w:sz w:val="18"/>
        <w:shd w:fill="FFFFFF" w:val="clear"/>
        <w:szCs w:val="18"/>
        <w:rFonts w:eastAsia="Tahoma" w:cs="Tahoma" w:ascii="Tahoma" w:hAnsi="Tahoma"/>
      </w:rPr>
      <w:instrText xml:space="preserve"> NUMPAGES </w:instrText>
    </w:r>
    <w:r>
      <w:rPr>
        <w:sz w:val="18"/>
        <w:shd w:fill="FFFFFF" w:val="clear"/>
        <w:szCs w:val="18"/>
        <w:rFonts w:eastAsia="Tahoma" w:cs="Tahoma" w:ascii="Tahoma" w:hAnsi="Tahoma"/>
      </w:rPr>
      <w:fldChar w:fldCharType="separate"/>
    </w:r>
    <w:r>
      <w:rPr>
        <w:sz w:val="18"/>
        <w:shd w:fill="FFFFFF" w:val="clear"/>
        <w:szCs w:val="18"/>
        <w:rFonts w:eastAsia="Tahoma" w:cs="Tahoma" w:ascii="Tahoma" w:hAnsi="Tahoma"/>
      </w:rPr>
      <w:t>3</w:t>
    </w:r>
    <w:r>
      <w:rPr>
        <w:sz w:val="18"/>
        <w:shd w:fill="FFFFFF" w:val="clear"/>
        <w:szCs w:val="18"/>
        <w:rFonts w:eastAsia="Tahoma" w:cs="Tahoma" w:ascii="Tahoma" w:hAnsi="Tahoma"/>
      </w:rPr>
      <w:fldChar w:fldCharType="end"/>
    </w:r>
    <w:r>
      <w:rPr>
        <w:rFonts w:eastAsia="Tahoma" w:cs="Tahoma" w:ascii="Tahoma" w:hAnsi="Tahoma"/>
        <w:sz w:val="18"/>
        <w:szCs w:val="18"/>
        <w:shd w:fill="FFFFFF" w:val="clear"/>
      </w:rPr>
      <w:tab/>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inline distT="0" distB="0" distL="0" distR="0">
          <wp:extent cx="5731510" cy="1206500"/>
          <wp:effectExtent l="0" t="0" r="0" b="0"/>
          <wp:docPr id="1" name="Copia image1.jpg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pia image1.jpg 1" descr=""/>
                  <pic:cNvPicPr>
                    <a:picLocks noChangeAspect="1" noChangeArrowheads="1"/>
                  </pic:cNvPicPr>
                </pic:nvPicPr>
                <pic:blipFill>
                  <a:blip r:embed="rId1"/>
                  <a:stretch>
                    <a:fillRect/>
                  </a:stretch>
                </pic:blipFill>
                <pic:spPr bwMode="auto">
                  <a:xfrm>
                    <a:off x="0" y="0"/>
                    <a:ext cx="5731510" cy="1206500"/>
                  </a:xfrm>
                  <a:prstGeom prst="rect">
                    <a:avLst/>
                  </a:prstGeom>
                </pic:spPr>
              </pic:pic>
            </a:graphicData>
          </a:graphic>
        </wp:inline>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inline distT="0" distB="0" distL="0" distR="0">
          <wp:extent cx="5731510" cy="1206500"/>
          <wp:effectExtent l="0" t="0" r="0" b="0"/>
          <wp:docPr id="2" name="Copia image1.jpg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pia image1.jpg 1" descr=""/>
                  <pic:cNvPicPr>
                    <a:picLocks noChangeAspect="1" noChangeArrowheads="1"/>
                  </pic:cNvPicPr>
                </pic:nvPicPr>
                <pic:blipFill>
                  <a:blip r:embed="rId1"/>
                  <a:stretch>
                    <a:fillRect/>
                  </a:stretch>
                </pic:blipFill>
                <pic:spPr bwMode="auto">
                  <a:xfrm>
                    <a:off x="0" y="0"/>
                    <a:ext cx="5731510" cy="1206500"/>
                  </a:xfrm>
                  <a:prstGeom prst="rect">
                    <a:avLst/>
                  </a:prstGeom>
                </pic:spPr>
              </pic:pic>
            </a:graphicData>
          </a:graphic>
        </wp:inline>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it-IT" w:eastAsia="it-IT"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b80100"/>
    <w:pPr>
      <w:widowControl/>
      <w:bidi w:val="0"/>
      <w:spacing w:lineRule="auto" w:line="276" w:before="0" w:after="0"/>
      <w:jc w:val="left"/>
    </w:pPr>
    <w:rPr>
      <w:rFonts w:ascii="Arial" w:hAnsi="Arial" w:eastAsia="Arial" w:cs="Arial"/>
      <w:color w:val="auto"/>
      <w:kern w:val="0"/>
      <w:sz w:val="22"/>
      <w:szCs w:val="22"/>
      <w:lang w:val="it-IT" w:eastAsia="it-IT" w:bidi="ar-SA"/>
    </w:rPr>
  </w:style>
  <w:style w:type="paragraph" w:styleId="Heading1">
    <w:name w:val="Heading 1"/>
    <w:basedOn w:val="Normal"/>
    <w:next w:val="Normal"/>
    <w:uiPriority w:val="9"/>
    <w:qFormat/>
    <w:rsid w:val="00b80100"/>
    <w:pPr>
      <w:keepNext w:val="true"/>
      <w:keepLines/>
      <w:spacing w:before="400" w:after="120"/>
      <w:outlineLvl w:val="0"/>
    </w:pPr>
    <w:rPr>
      <w:sz w:val="40"/>
      <w:szCs w:val="40"/>
    </w:rPr>
  </w:style>
  <w:style w:type="paragraph" w:styleId="Heading2">
    <w:name w:val="Heading 2"/>
    <w:basedOn w:val="Normal"/>
    <w:next w:val="Normal"/>
    <w:uiPriority w:val="9"/>
    <w:semiHidden/>
    <w:unhideWhenUsed/>
    <w:qFormat/>
    <w:rsid w:val="00b80100"/>
    <w:pPr>
      <w:keepNext w:val="true"/>
      <w:keepLines/>
      <w:spacing w:before="360" w:after="120"/>
      <w:outlineLvl w:val="1"/>
    </w:pPr>
    <w:rPr>
      <w:sz w:val="32"/>
      <w:szCs w:val="32"/>
    </w:rPr>
  </w:style>
  <w:style w:type="paragraph" w:styleId="Heading3">
    <w:name w:val="Heading 3"/>
    <w:basedOn w:val="Normal"/>
    <w:next w:val="Normal"/>
    <w:uiPriority w:val="9"/>
    <w:semiHidden/>
    <w:unhideWhenUsed/>
    <w:qFormat/>
    <w:rsid w:val="00b80100"/>
    <w:pPr>
      <w:keepNext w:val="true"/>
      <w:keepLines/>
      <w:spacing w:before="320" w:after="80"/>
      <w:outlineLvl w:val="2"/>
    </w:pPr>
    <w:rPr>
      <w:color w:val="434343"/>
      <w:sz w:val="28"/>
      <w:szCs w:val="28"/>
    </w:rPr>
  </w:style>
  <w:style w:type="paragraph" w:styleId="Heading4">
    <w:name w:val="Heading 4"/>
    <w:basedOn w:val="Normal"/>
    <w:next w:val="Normal"/>
    <w:uiPriority w:val="9"/>
    <w:semiHidden/>
    <w:unhideWhenUsed/>
    <w:qFormat/>
    <w:rsid w:val="00b80100"/>
    <w:pPr>
      <w:keepNext w:val="true"/>
      <w:keepLines/>
      <w:spacing w:before="280" w:after="80"/>
      <w:outlineLvl w:val="3"/>
    </w:pPr>
    <w:rPr>
      <w:color w:val="666666"/>
      <w:sz w:val="24"/>
      <w:szCs w:val="24"/>
    </w:rPr>
  </w:style>
  <w:style w:type="paragraph" w:styleId="Heading5">
    <w:name w:val="Heading 5"/>
    <w:basedOn w:val="Normal"/>
    <w:next w:val="Normal"/>
    <w:uiPriority w:val="9"/>
    <w:semiHidden/>
    <w:unhideWhenUsed/>
    <w:qFormat/>
    <w:rsid w:val="00b80100"/>
    <w:pPr>
      <w:keepNext w:val="true"/>
      <w:keepLines/>
      <w:spacing w:before="240" w:after="80"/>
      <w:outlineLvl w:val="4"/>
    </w:pPr>
    <w:rPr>
      <w:color w:val="666666"/>
    </w:rPr>
  </w:style>
  <w:style w:type="paragraph" w:styleId="Heading6">
    <w:name w:val="Heading 6"/>
    <w:basedOn w:val="Normal"/>
    <w:next w:val="Normal"/>
    <w:uiPriority w:val="9"/>
    <w:semiHidden/>
    <w:unhideWhenUsed/>
    <w:qFormat/>
    <w:rsid w:val="00b80100"/>
    <w:pPr>
      <w:keepNext w:val="true"/>
      <w:keepLines/>
      <w:spacing w:before="240" w:after="80"/>
      <w:outlineLvl w:val="5"/>
    </w:pPr>
    <w:rPr>
      <w:i/>
      <w:color w:val="666666"/>
    </w:rPr>
  </w:style>
  <w:style w:type="character" w:styleId="DefaultParagraphFont" w:default="1">
    <w:name w:val="Default Paragraph Font"/>
    <w:uiPriority w:val="1"/>
    <w:semiHidden/>
    <w:unhideWhenUsed/>
    <w:qFormat/>
    <w:rPr/>
  </w:style>
  <w:style w:type="character" w:styleId="IntestazioneCarattere" w:customStyle="1">
    <w:name w:val="Intestazione Carattere"/>
    <w:basedOn w:val="DefaultParagraphFont"/>
    <w:uiPriority w:val="99"/>
    <w:qFormat/>
    <w:rsid w:val="000866c1"/>
    <w:rPr/>
  </w:style>
  <w:style w:type="character" w:styleId="PidipaginaCarattere" w:customStyle="1">
    <w:name w:val="Piè di pagina Carattere"/>
    <w:basedOn w:val="DefaultParagraphFont"/>
    <w:uiPriority w:val="99"/>
    <w:qFormat/>
    <w:rsid w:val="000866c1"/>
    <w:rPr/>
  </w:style>
  <w:style w:type="character" w:styleId="Strong">
    <w:name w:val="Strong"/>
    <w:basedOn w:val="DefaultParagraphFont"/>
    <w:uiPriority w:val="22"/>
    <w:qFormat/>
    <w:rsid w:val="00c418cb"/>
    <w:rPr>
      <w:b/>
      <w:bCs/>
    </w:rPr>
  </w:style>
  <w:style w:type="character" w:styleId="Emphasis">
    <w:name w:val="Emphasis"/>
    <w:basedOn w:val="DefaultParagraphFont"/>
    <w:uiPriority w:val="20"/>
    <w:qFormat/>
    <w:rsid w:val="00c418cb"/>
    <w:rPr>
      <w:i/>
      <w:iCs/>
    </w:rPr>
  </w:style>
  <w:style w:type="character" w:styleId="TestofumettoCarattere" w:customStyle="1">
    <w:name w:val="Testo fumetto Carattere"/>
    <w:basedOn w:val="DefaultParagraphFont"/>
    <w:link w:val="BalloonText"/>
    <w:uiPriority w:val="99"/>
    <w:semiHidden/>
    <w:qFormat/>
    <w:rsid w:val="00ff28ba"/>
    <w:rPr>
      <w:rFonts w:ascii="Tahoma" w:hAnsi="Tahoma" w:cs="Tahoma"/>
      <w:sz w:val="16"/>
      <w:szCs w:val="16"/>
    </w:rPr>
  </w:style>
  <w:style w:type="paragraph" w:styleId="Titolo">
    <w:name w:val="Tito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Title">
    <w:name w:val="Title"/>
    <w:basedOn w:val="Normal"/>
    <w:next w:val="Normal"/>
    <w:uiPriority w:val="10"/>
    <w:qFormat/>
    <w:rsid w:val="00b80100"/>
    <w:pPr>
      <w:keepNext w:val="true"/>
      <w:keepLines/>
      <w:spacing w:before="0" w:after="60"/>
    </w:pPr>
    <w:rPr>
      <w:sz w:val="52"/>
      <w:szCs w:val="52"/>
    </w:rPr>
  </w:style>
  <w:style w:type="paragraph" w:styleId="Subtitle">
    <w:name w:val="Subtitle"/>
    <w:basedOn w:val="Normal"/>
    <w:next w:val="Normal"/>
    <w:uiPriority w:val="11"/>
    <w:qFormat/>
    <w:rsid w:val="00b80100"/>
    <w:pPr>
      <w:keepNext w:val="true"/>
      <w:keepLines/>
      <w:spacing w:before="0" w:after="320"/>
    </w:pPr>
    <w:rPr>
      <w:color w:val="666666"/>
      <w:sz w:val="30"/>
      <w:szCs w:val="30"/>
    </w:rPr>
  </w:style>
  <w:style w:type="paragraph" w:styleId="Intestazioneepidipagina">
    <w:name w:val="Intestazione e piè di pagina"/>
    <w:basedOn w:val="Normal"/>
    <w:qFormat/>
    <w:pPr/>
    <w:rPr/>
  </w:style>
  <w:style w:type="paragraph" w:styleId="Header">
    <w:name w:val="Header"/>
    <w:basedOn w:val="Normal"/>
    <w:link w:val="IntestazioneCarattere"/>
    <w:uiPriority w:val="99"/>
    <w:unhideWhenUsed/>
    <w:rsid w:val="000866c1"/>
    <w:pPr>
      <w:tabs>
        <w:tab w:val="clear" w:pos="720"/>
        <w:tab w:val="center" w:pos="4819" w:leader="none"/>
        <w:tab w:val="right" w:pos="9638" w:leader="none"/>
      </w:tabs>
      <w:spacing w:lineRule="auto" w:line="240"/>
    </w:pPr>
    <w:rPr/>
  </w:style>
  <w:style w:type="paragraph" w:styleId="Footer">
    <w:name w:val="Footer"/>
    <w:basedOn w:val="Normal"/>
    <w:link w:val="PidipaginaCarattere"/>
    <w:uiPriority w:val="99"/>
    <w:unhideWhenUsed/>
    <w:rsid w:val="000866c1"/>
    <w:pPr>
      <w:tabs>
        <w:tab w:val="clear" w:pos="720"/>
        <w:tab w:val="center" w:pos="4819" w:leader="none"/>
        <w:tab w:val="right" w:pos="9638" w:leader="none"/>
      </w:tabs>
      <w:spacing w:lineRule="auto" w:line="240"/>
    </w:pPr>
    <w:rPr/>
  </w:style>
  <w:style w:type="paragraph" w:styleId="PARAGRAFOA" w:customStyle="1">
    <w:name w:val="PARAGRAFOA"/>
    <w:basedOn w:val="Normal"/>
    <w:qFormat/>
    <w:rsid w:val="005f676b"/>
    <w:pPr>
      <w:widowControl w:val="false"/>
      <w:numPr>
        <w:ilvl w:val="0"/>
        <w:numId w:val="1"/>
      </w:numPr>
      <w:suppressAutoHyphens w:val="true"/>
      <w:spacing w:lineRule="auto" w:line="240"/>
      <w:jc w:val="both"/>
    </w:pPr>
    <w:rPr>
      <w:rFonts w:ascii="Georgia" w:hAnsi="Georgia" w:eastAsia="Liberation Serif" w:cs="Liberation Serif"/>
      <w:color w:themeColor="text1" w:val="000000"/>
      <w:szCs w:val="24"/>
      <w:lang w:val="it-IT"/>
    </w:rPr>
  </w:style>
  <w:style w:type="paragraph" w:styleId="ListParagraph">
    <w:name w:val="List Paragraph"/>
    <w:basedOn w:val="Normal"/>
    <w:uiPriority w:val="34"/>
    <w:qFormat/>
    <w:rsid w:val="005f676b"/>
    <w:pPr>
      <w:spacing w:before="0" w:after="0"/>
      <w:ind w:left="720"/>
      <w:contextualSpacing/>
    </w:pPr>
    <w:rPr/>
  </w:style>
  <w:style w:type="paragraph" w:styleId="NormalWeb">
    <w:name w:val="Normal (Web)"/>
    <w:basedOn w:val="Normal"/>
    <w:uiPriority w:val="99"/>
    <w:semiHidden/>
    <w:unhideWhenUsed/>
    <w:qFormat/>
    <w:rsid w:val="00c418cb"/>
    <w:pPr>
      <w:spacing w:lineRule="auto" w:line="240" w:beforeAutospacing="1" w:afterAutospacing="1"/>
    </w:pPr>
    <w:rPr>
      <w:rFonts w:ascii="Times New Roman" w:hAnsi="Times New Roman" w:eastAsia="Times New Roman" w:cs="Times New Roman"/>
      <w:sz w:val="24"/>
      <w:szCs w:val="24"/>
      <w:lang w:val="it-IT"/>
    </w:rPr>
  </w:style>
  <w:style w:type="paragraph" w:styleId="BalloonText">
    <w:name w:val="Balloon Text"/>
    <w:basedOn w:val="Normal"/>
    <w:link w:val="TestofumettoCarattere"/>
    <w:uiPriority w:val="99"/>
    <w:semiHidden/>
    <w:unhideWhenUsed/>
    <w:qFormat/>
    <w:rsid w:val="00ff28ba"/>
    <w:pPr>
      <w:spacing w:lineRule="auto" w:line="240"/>
    </w:pPr>
    <w:rPr>
      <w:rFonts w:ascii="Tahoma" w:hAnsi="Tahoma" w:cs="Tahoma"/>
      <w:sz w:val="16"/>
      <w:szCs w:val="16"/>
    </w:rPr>
  </w:style>
  <w:style w:type="numbering" w:styleId="Nessunelenco" w:default="1">
    <w:name w:val="Nessun elenco"/>
    <w:uiPriority w:val="99"/>
    <w:semiHidden/>
    <w:unhideWhenUsed/>
    <w:qFormat/>
  </w:style>
  <w:style w:type="table" w:default="1" w:styleId="Tabellanormale">
    <w:name w:val="Normal Table"/>
    <w:uiPriority w:val="99"/>
    <w:semiHidden/>
    <w:unhideWhenUsed/>
    <w:qFormat/>
    <w:tblPr>
      <w:tblCellMar>
        <w:top w:w="0" w:type="dxa"/>
        <w:left w:w="108" w:type="dxa"/>
        <w:bottom w:w="0" w:type="dxa"/>
        <w:right w:w="108" w:type="dxa"/>
      </w:tblCellMar>
    </w:tblPr>
  </w:style>
  <w:style w:type="table" w:customStyle="1" w:styleId="TableNormal">
    <w:name w:val="Table Normal"/>
    <w:rsid w:val="00b80100"/>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jpeg"/>
</Relationships>
</file>

<file path=word/_rels/header3.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TotalTime>
  <Application>LibreOffice/24.2.4.2$Windows_X86_64 LibreOffice_project/51a6219feb6075d9a4c46691dcfe0cd9c4fff3c2</Application>
  <AppVersion>15.0000</AppVersion>
  <Pages>3</Pages>
  <Words>806</Words>
  <Characters>5169</Characters>
  <CharactersWithSpaces>5952</CharactersWithSpaces>
  <Paragraphs>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2025-05-06T14:20:00Z</dcterms:created>
  <dc:creator>Vicepreside2</dc:creator>
  <dc:description/>
  <dc:language>it-IT</dc:language>
  <cp:lastModifiedBy/>
  <dcterms:modified xsi:type="dcterms:W3CDTF">2025-10-09T22:09:56Z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